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24" w:space="0" w:color="FF6068"/>
          <w:left w:val="single" w:sz="24" w:space="0" w:color="FF6068"/>
          <w:bottom w:val="single" w:sz="24" w:space="0" w:color="FF6068"/>
          <w:right w:val="single" w:sz="24" w:space="0" w:color="FF6068"/>
          <w:insideH w:val="single" w:sz="24" w:space="0" w:color="FF6068"/>
          <w:insideV w:val="single" w:sz="24" w:space="0" w:color="FF6068"/>
        </w:tblBorders>
        <w:tblLook w:val="04A0" w:firstRow="1" w:lastRow="0" w:firstColumn="1" w:lastColumn="0" w:noHBand="0" w:noVBand="1"/>
      </w:tblPr>
      <w:tblGrid>
        <w:gridCol w:w="2994"/>
        <w:gridCol w:w="3044"/>
        <w:gridCol w:w="2974"/>
      </w:tblGrid>
      <w:tr w:rsidR="00E33A96" w14:paraId="6AB1F694" w14:textId="77777777" w:rsidTr="00E33A96">
        <w:trPr>
          <w:trHeight w:val="1587"/>
        </w:trPr>
        <w:tc>
          <w:tcPr>
            <w:tcW w:w="3004" w:type="dxa"/>
            <w:tcBorders>
              <w:right w:val="nil"/>
            </w:tcBorders>
            <w:vAlign w:val="center"/>
          </w:tcPr>
          <w:p w14:paraId="3F11153C" w14:textId="465E64C6" w:rsidR="00E33A96" w:rsidRDefault="00E33A96" w:rsidP="00E33A96">
            <w:pPr>
              <w:spacing w:after="0"/>
              <w:jc w:val="center"/>
            </w:pPr>
            <w:r>
              <w:rPr>
                <w:noProof/>
              </w:rPr>
              <w:drawing>
                <wp:inline distT="0" distB="0" distL="0" distR="0" wp14:anchorId="2E4CCB02" wp14:editId="3E42BAB5">
                  <wp:extent cx="1637665" cy="399415"/>
                  <wp:effectExtent l="0" t="0" r="635" b="635"/>
                  <wp:docPr id="1419174983"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74983" name="Afbeelding 4" descr="Afbeelding met tekst, Lettertype, Graphics, grafische vormgeving&#10;&#10;Door AI gegenereerde inhoud is mogelijk onjuis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399415"/>
                          </a:xfrm>
                          <a:prstGeom prst="rect">
                            <a:avLst/>
                          </a:prstGeom>
                          <a:noFill/>
                          <a:ln>
                            <a:noFill/>
                          </a:ln>
                        </pic:spPr>
                      </pic:pic>
                    </a:graphicData>
                  </a:graphic>
                </wp:inline>
              </w:drawing>
            </w:r>
          </w:p>
        </w:tc>
        <w:tc>
          <w:tcPr>
            <w:tcW w:w="3004" w:type="dxa"/>
            <w:tcBorders>
              <w:left w:val="nil"/>
              <w:right w:val="nil"/>
            </w:tcBorders>
            <w:vAlign w:val="center"/>
          </w:tcPr>
          <w:p w14:paraId="7B4FCA4E" w14:textId="229E2841" w:rsidR="00E33A96" w:rsidRDefault="00E33A96" w:rsidP="00E33A96">
            <w:pPr>
              <w:spacing w:after="0"/>
              <w:jc w:val="center"/>
            </w:pPr>
            <w:r>
              <w:rPr>
                <w:noProof/>
              </w:rPr>
              <w:drawing>
                <wp:inline distT="0" distB="0" distL="0" distR="0" wp14:anchorId="287AF9C4" wp14:editId="51031E8A">
                  <wp:extent cx="1795780" cy="391795"/>
                  <wp:effectExtent l="0" t="0" r="0" b="8255"/>
                  <wp:docPr id="502841724"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41724" name="Afbeelding 4" descr="Afbeelding met tekst, Lettertype, Graphics, grafische vormgeving&#10;&#10;Door AI gegenereerde inhoud is mogelijk onjuis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5780" cy="391795"/>
                          </a:xfrm>
                          <a:prstGeom prst="rect">
                            <a:avLst/>
                          </a:prstGeom>
                          <a:noFill/>
                          <a:ln>
                            <a:noFill/>
                          </a:ln>
                        </pic:spPr>
                      </pic:pic>
                    </a:graphicData>
                  </a:graphic>
                </wp:inline>
              </w:drawing>
            </w:r>
          </w:p>
        </w:tc>
        <w:tc>
          <w:tcPr>
            <w:tcW w:w="3004" w:type="dxa"/>
            <w:tcBorders>
              <w:left w:val="nil"/>
            </w:tcBorders>
            <w:vAlign w:val="center"/>
          </w:tcPr>
          <w:p w14:paraId="45B277FD" w14:textId="1C2ADB67" w:rsidR="00E33A96" w:rsidRDefault="00E33A96" w:rsidP="00E33A96">
            <w:pPr>
              <w:spacing w:after="0"/>
              <w:jc w:val="center"/>
            </w:pPr>
            <w:r>
              <w:rPr>
                <w:noProof/>
              </w:rPr>
              <w:drawing>
                <wp:inline distT="0" distB="0" distL="0" distR="0" wp14:anchorId="332FC201" wp14:editId="0699B00A">
                  <wp:extent cx="1396365" cy="399415"/>
                  <wp:effectExtent l="0" t="0" r="0" b="635"/>
                  <wp:docPr id="1721594072" name="Afbeelding 6" descr="Afbeelding met Lettertype, clipar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94072" name="Afbeelding 6" descr="Afbeelding met Lettertype, clipart, logo, Graphics&#10;&#10;Door AI gegenereerde inhoud is mogelijk onjuis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365" cy="39941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5F5237FC" wp14:editId="703AA499">
                      <wp:simplePos x="0" y="0"/>
                      <wp:positionH relativeFrom="column">
                        <wp:posOffset>2540</wp:posOffset>
                      </wp:positionH>
                      <wp:positionV relativeFrom="paragraph">
                        <wp:posOffset>320040</wp:posOffset>
                      </wp:positionV>
                      <wp:extent cx="1750060" cy="422275"/>
                      <wp:effectExtent l="0" t="0" r="0" b="0"/>
                      <wp:wrapNone/>
                      <wp:docPr id="1558936983" name="Tekstvak 2"/>
                      <wp:cNvGraphicFramePr/>
                      <a:graphic xmlns:a="http://schemas.openxmlformats.org/drawingml/2006/main">
                        <a:graphicData uri="http://schemas.microsoft.com/office/word/2010/wordprocessingShape">
                          <wps:wsp>
                            <wps:cNvSpPr txBox="1"/>
                            <wps:spPr>
                              <a:xfrm>
                                <a:off x="0" y="0"/>
                                <a:ext cx="1750060" cy="422275"/>
                              </a:xfrm>
                              <a:prstGeom prst="rect">
                                <a:avLst/>
                              </a:prstGeom>
                              <a:noFill/>
                              <a:ln w="6350">
                                <a:noFill/>
                              </a:ln>
                            </wps:spPr>
                            <wps:txbx>
                              <w:txbxContent>
                                <w:p w14:paraId="39ECF8AB" w14:textId="77777777" w:rsidR="00E33A96" w:rsidRDefault="00E33A96" w:rsidP="00E33A96">
                                  <w:pPr>
                                    <w:spacing w:after="0" w:line="240" w:lineRule="auto"/>
                                    <w:rPr>
                                      <w:i/>
                                      <w:iCs/>
                                      <w:noProof/>
                                      <w:color w:val="233C5C"/>
                                      <w:sz w:val="10"/>
                                      <w:szCs w:val="10"/>
                                    </w:rPr>
                                  </w:pPr>
                                </w:p>
                                <w:p w14:paraId="7B66F553" w14:textId="0C9B392C" w:rsidR="00E33A96" w:rsidRPr="005F7FD9" w:rsidRDefault="00E33A96" w:rsidP="00E33A96">
                                  <w:pPr>
                                    <w:spacing w:after="0" w:line="240" w:lineRule="auto"/>
                                    <w:jc w:val="center"/>
                                    <w:rPr>
                                      <w:noProof/>
                                      <w:color w:val="233C5C"/>
                                      <w:sz w:val="10"/>
                                      <w:szCs w:val="10"/>
                                    </w:rPr>
                                  </w:pPr>
                                  <w:r w:rsidRPr="005F7FD9">
                                    <w:rPr>
                                      <w:noProof/>
                                      <w:color w:val="233C5C"/>
                                      <w:sz w:val="10"/>
                                      <w:szCs w:val="10"/>
                                    </w:rPr>
                                    <w:t>Katholieke Scholen Regio Deinze VZW</w:t>
                                  </w:r>
                                </w:p>
                                <w:p w14:paraId="37DE5F26" w14:textId="77777777" w:rsidR="00E33A96" w:rsidRPr="005F7FD9" w:rsidRDefault="00E33A96" w:rsidP="00E33A96">
                                  <w:pPr>
                                    <w:spacing w:after="0" w:line="240" w:lineRule="auto"/>
                                    <w:jc w:val="center"/>
                                    <w:rPr>
                                      <w:noProof/>
                                      <w:color w:val="233C5C"/>
                                      <w:sz w:val="10"/>
                                      <w:szCs w:val="10"/>
                                    </w:rPr>
                                  </w:pPr>
                                  <w:r w:rsidRPr="005F7FD9">
                                    <w:rPr>
                                      <w:noProof/>
                                      <w:color w:val="233C5C"/>
                                      <w:sz w:val="10"/>
                                      <w:szCs w:val="10"/>
                                    </w:rPr>
                                    <w:t>Maatschappelijke zetel: Nieuwstraat 60 – 9800 Astene</w:t>
                                  </w:r>
                                </w:p>
                                <w:p w14:paraId="68F50128" w14:textId="77777777" w:rsidR="00E33A96" w:rsidRPr="005F7FD9" w:rsidRDefault="00E33A96" w:rsidP="00E33A96">
                                  <w:pPr>
                                    <w:spacing w:after="0" w:line="240" w:lineRule="auto"/>
                                    <w:jc w:val="center"/>
                                    <w:rPr>
                                      <w:noProof/>
                                      <w:color w:val="233C5C"/>
                                      <w:sz w:val="10"/>
                                      <w:szCs w:val="10"/>
                                    </w:rPr>
                                  </w:pPr>
                                  <w:r w:rsidRPr="005F7FD9">
                                    <w:rPr>
                                      <w:noProof/>
                                      <w:color w:val="233C5C"/>
                                      <w:sz w:val="10"/>
                                      <w:szCs w:val="10"/>
                                    </w:rPr>
                                    <w:t>Ondernemingsnummer: 0416.935.593 RPR Gent</w:t>
                                  </w:r>
                                </w:p>
                                <w:p w14:paraId="1A3A38E5" w14:textId="77777777" w:rsidR="00E33A96" w:rsidRDefault="00E33A96" w:rsidP="00E33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5237FC" id="_x0000_t202" coordsize="21600,21600" o:spt="202" path="m,l,21600r21600,l21600,xe">
                      <v:stroke joinstyle="miter"/>
                      <v:path gradientshapeok="t" o:connecttype="rect"/>
                    </v:shapetype>
                    <v:shape id="Tekstvak 2" o:spid="_x0000_s1026" type="#_x0000_t202" style="position:absolute;left:0;text-align:left;margin-left:.2pt;margin-top:25.2pt;width:137.8pt;height:3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" filled="f" stroked="f" strokeweight=".5pt">
                      <v:textbox>
                        <w:txbxContent>
                          <w:p w14:paraId="39ECF8AB" w14:textId="77777777" w:rsidR="00E33A96" w:rsidRDefault="00E33A96" w:rsidP="00E33A96">
                            <w:pPr>
                              <w:spacing w:after="0" w:line="240" w:lineRule="auto"/>
                              <w:rPr>
                                <w:i/>
                                <w:iCs/>
                                <w:noProof/>
                                <w:color w:val="233C5C"/>
                                <w:sz w:val="10"/>
                                <w:szCs w:val="10"/>
                              </w:rPr>
                            </w:pPr>
                          </w:p>
                          <w:p w14:paraId="7B66F553" w14:textId="0C9B392C" w:rsidR="00E33A96" w:rsidRPr="005F7FD9" w:rsidRDefault="00E33A96" w:rsidP="00E33A96">
                            <w:pPr>
                              <w:spacing w:after="0" w:line="240" w:lineRule="auto"/>
                              <w:jc w:val="center"/>
                              <w:rPr>
                                <w:noProof/>
                                <w:color w:val="233C5C"/>
                                <w:sz w:val="10"/>
                                <w:szCs w:val="10"/>
                              </w:rPr>
                            </w:pPr>
                            <w:r w:rsidRPr="005F7FD9">
                              <w:rPr>
                                <w:noProof/>
                                <w:color w:val="233C5C"/>
                                <w:sz w:val="10"/>
                                <w:szCs w:val="10"/>
                              </w:rPr>
                              <w:t>Katholieke Scholen Regio Deinze VZW</w:t>
                            </w:r>
                          </w:p>
                          <w:p w14:paraId="37DE5F26" w14:textId="77777777" w:rsidR="00E33A96" w:rsidRPr="005F7FD9" w:rsidRDefault="00E33A96" w:rsidP="00E33A96">
                            <w:pPr>
                              <w:spacing w:after="0" w:line="240" w:lineRule="auto"/>
                              <w:jc w:val="center"/>
                              <w:rPr>
                                <w:noProof/>
                                <w:color w:val="233C5C"/>
                                <w:sz w:val="10"/>
                                <w:szCs w:val="10"/>
                              </w:rPr>
                            </w:pPr>
                            <w:r w:rsidRPr="005F7FD9">
                              <w:rPr>
                                <w:noProof/>
                                <w:color w:val="233C5C"/>
                                <w:sz w:val="10"/>
                                <w:szCs w:val="10"/>
                              </w:rPr>
                              <w:t>Maatschappelijke zetel: Nieuwstraat 60 – 9800 Astene</w:t>
                            </w:r>
                          </w:p>
                          <w:p w14:paraId="68F50128" w14:textId="77777777" w:rsidR="00E33A96" w:rsidRPr="005F7FD9" w:rsidRDefault="00E33A96" w:rsidP="00E33A96">
                            <w:pPr>
                              <w:spacing w:after="0" w:line="240" w:lineRule="auto"/>
                              <w:jc w:val="center"/>
                              <w:rPr>
                                <w:noProof/>
                                <w:color w:val="233C5C"/>
                                <w:sz w:val="10"/>
                                <w:szCs w:val="10"/>
                              </w:rPr>
                            </w:pPr>
                            <w:r w:rsidRPr="005F7FD9">
                              <w:rPr>
                                <w:noProof/>
                                <w:color w:val="233C5C"/>
                                <w:sz w:val="10"/>
                                <w:szCs w:val="10"/>
                              </w:rPr>
                              <w:t>Ondernemingsnummer: 0416.935.593 RPR Gent</w:t>
                            </w:r>
                          </w:p>
                          <w:p w14:paraId="1A3A38E5" w14:textId="77777777" w:rsidR="00E33A96" w:rsidRDefault="00E33A96" w:rsidP="00E33A96"/>
                        </w:txbxContent>
                      </v:textbox>
                    </v:shape>
                  </w:pict>
                </mc:Fallback>
              </mc:AlternateContent>
            </w:r>
          </w:p>
        </w:tc>
      </w:tr>
    </w:tbl>
    <w:p w14:paraId="48C0CED3" w14:textId="77777777" w:rsidR="003E641E" w:rsidRPr="00E33A96" w:rsidRDefault="003E641E" w:rsidP="00E33A96">
      <w:pPr>
        <w:spacing w:after="0"/>
        <w:rPr>
          <w:sz w:val="20"/>
          <w:szCs w:val="20"/>
        </w:rPr>
      </w:pPr>
    </w:p>
    <w:tbl>
      <w:tblPr>
        <w:tblStyle w:val="Tabelraster"/>
        <w:tblW w:w="0" w:type="auto"/>
        <w:tblBorders>
          <w:top w:val="single" w:sz="4" w:space="0" w:color="8861F7"/>
          <w:left w:val="single" w:sz="4" w:space="0" w:color="8861F7"/>
          <w:bottom w:val="single" w:sz="4" w:space="0" w:color="8861F7"/>
          <w:right w:val="single" w:sz="4" w:space="0" w:color="8861F7"/>
          <w:insideH w:val="single" w:sz="4" w:space="0" w:color="8861F7"/>
          <w:insideV w:val="single" w:sz="4" w:space="0" w:color="8861F7"/>
        </w:tblBorders>
        <w:tblLook w:val="04A0" w:firstRow="1" w:lastRow="0" w:firstColumn="1" w:lastColumn="0" w:noHBand="0" w:noVBand="1"/>
      </w:tblPr>
      <w:tblGrid>
        <w:gridCol w:w="9062"/>
      </w:tblGrid>
      <w:tr w:rsidR="00E33A96" w:rsidRPr="00E33A96" w14:paraId="47FD2D41" w14:textId="77777777" w:rsidTr="0064681B">
        <w:trPr>
          <w:trHeight w:val="454"/>
        </w:trPr>
        <w:tc>
          <w:tcPr>
            <w:tcW w:w="9062" w:type="dxa"/>
            <w:shd w:val="clear" w:color="auto" w:fill="F1ECFE"/>
            <w:vAlign w:val="center"/>
          </w:tcPr>
          <w:p w14:paraId="3E511771" w14:textId="0535B4CB" w:rsidR="00E33A96" w:rsidRPr="00A959F0" w:rsidRDefault="005C14DD" w:rsidP="00E33A96">
            <w:pPr>
              <w:spacing w:after="0"/>
              <w:jc w:val="center"/>
              <w:rPr>
                <w:b/>
                <w:bCs/>
                <w:color w:val="233C5C"/>
                <w:sz w:val="28"/>
                <w:szCs w:val="28"/>
              </w:rPr>
            </w:pPr>
            <w:r>
              <w:rPr>
                <w:b/>
                <w:bCs/>
                <w:color w:val="233C5C"/>
                <w:sz w:val="28"/>
                <w:szCs w:val="28"/>
              </w:rPr>
              <w:t>WAT TE DOEN BIJ EEN SCHOOLONGEVAL?</w:t>
            </w:r>
          </w:p>
        </w:tc>
      </w:tr>
    </w:tbl>
    <w:p w14:paraId="23B002E5" w14:textId="77777777" w:rsidR="00E33A96" w:rsidRDefault="00E33A96" w:rsidP="002A1C26">
      <w:pPr>
        <w:spacing w:after="0"/>
      </w:pPr>
    </w:p>
    <w:p w14:paraId="15273130" w14:textId="1EF2B495" w:rsidR="005C14DD" w:rsidRDefault="005C14DD" w:rsidP="005C14DD">
      <w:pPr>
        <w:spacing w:after="0"/>
      </w:pPr>
      <w:r>
        <w:t>Je</w:t>
      </w:r>
      <w:r>
        <w:t xml:space="preserve"> zoon of dochter had een ongeval op school. Graag bezorgen we </w:t>
      </w:r>
      <w:r>
        <w:t>je</w:t>
      </w:r>
      <w:r>
        <w:t xml:space="preserve"> de nodige documenten voor onze schoolverzekering:</w:t>
      </w:r>
    </w:p>
    <w:p w14:paraId="1B96CE04" w14:textId="77777777" w:rsidR="005C14DD" w:rsidRDefault="005C14DD" w:rsidP="005C14DD">
      <w:pPr>
        <w:spacing w:after="0"/>
      </w:pPr>
    </w:p>
    <w:p w14:paraId="036A1F30" w14:textId="77777777" w:rsidR="005C14DD" w:rsidRDefault="005C14DD" w:rsidP="005C14DD">
      <w:pPr>
        <w:pStyle w:val="Lijstalinea"/>
        <w:numPr>
          <w:ilvl w:val="0"/>
          <w:numId w:val="1"/>
        </w:numPr>
        <w:spacing w:after="0"/>
      </w:pPr>
      <w:r w:rsidRPr="00966FD8">
        <w:rPr>
          <w:i/>
          <w:iCs/>
        </w:rPr>
        <w:t>Ongevalsverklaring (blz. 1-5)</w:t>
      </w:r>
      <w:r>
        <w:br/>
        <w:t xml:space="preserve">De ongevalsverklaring wordt ingevuld door de leerkracht. Hierin staan de persoonsgegevens alsook de omstandigheden van het schoolongeval. </w:t>
      </w:r>
      <w:r>
        <w:br/>
      </w:r>
    </w:p>
    <w:p w14:paraId="193B1C9A" w14:textId="77777777" w:rsidR="005C14DD" w:rsidRPr="002B0911" w:rsidRDefault="005C14DD" w:rsidP="005C14DD">
      <w:pPr>
        <w:pStyle w:val="Lijstalinea"/>
        <w:numPr>
          <w:ilvl w:val="0"/>
          <w:numId w:val="1"/>
        </w:numPr>
        <w:spacing w:after="0"/>
      </w:pPr>
      <w:r>
        <w:rPr>
          <w:i/>
          <w:iCs/>
        </w:rPr>
        <w:t>Geneeskundig getuigschrift (blz. 6) / attest tandletsel / attest schade aan bril</w:t>
      </w:r>
    </w:p>
    <w:p w14:paraId="0BC50136" w14:textId="77777777" w:rsidR="005C14DD" w:rsidRDefault="005C14DD" w:rsidP="005C14DD">
      <w:pPr>
        <w:pStyle w:val="Lijstalinea"/>
        <w:spacing w:after="0"/>
        <w:ind w:left="360"/>
      </w:pPr>
      <w:r>
        <w:t xml:space="preserve">Dit document dient ingevuld te worden door de behandelende (tand)arts / opticien. </w:t>
      </w:r>
      <w:r>
        <w:br/>
      </w:r>
    </w:p>
    <w:p w14:paraId="1FCC301D" w14:textId="77777777" w:rsidR="005C14DD" w:rsidRPr="00DB0671" w:rsidRDefault="005C14DD" w:rsidP="005C14DD">
      <w:pPr>
        <w:pStyle w:val="Lijstalinea"/>
        <w:numPr>
          <w:ilvl w:val="0"/>
          <w:numId w:val="1"/>
        </w:numPr>
        <w:spacing w:after="0"/>
        <w:rPr>
          <w:i/>
          <w:iCs/>
        </w:rPr>
      </w:pPr>
      <w:r w:rsidRPr="00DB0671">
        <w:rPr>
          <w:i/>
          <w:iCs/>
        </w:rPr>
        <w:t>Uitgavenstaat (blz. 7)</w:t>
      </w:r>
    </w:p>
    <w:p w14:paraId="775E848D" w14:textId="77777777" w:rsidR="005C14DD" w:rsidRPr="002B0911" w:rsidRDefault="005C14DD" w:rsidP="005C14DD">
      <w:pPr>
        <w:pStyle w:val="Lijstalinea"/>
        <w:spacing w:after="0"/>
        <w:ind w:left="360"/>
      </w:pPr>
      <w:r>
        <w:t xml:space="preserve">Met dit document kunnen de kosten die niet terugbetaald worden door de mutualiteit, teruggevorderd worden. Het kader onderaan dient ingevuld te worden: naam rekeninghouder, rekeningnummer, handtekening, plaats en datum. </w:t>
      </w:r>
    </w:p>
    <w:p w14:paraId="00100206" w14:textId="77777777" w:rsidR="005C14DD" w:rsidRDefault="005C14DD" w:rsidP="005C14DD">
      <w:pPr>
        <w:spacing w:after="0"/>
      </w:pPr>
    </w:p>
    <w:p w14:paraId="012A49C5" w14:textId="77777777" w:rsidR="005C14DD" w:rsidRDefault="005C14DD" w:rsidP="005C14DD">
      <w:pPr>
        <w:spacing w:after="0"/>
      </w:pPr>
      <w:r>
        <w:t xml:space="preserve">De bovengenoemde documenten moeten ingevuld aan het secretariaat bezorgd worden waarna er een digitale aangifte van het schoolongeval zal gebeuren. </w:t>
      </w:r>
    </w:p>
    <w:p w14:paraId="4E5CB6C6" w14:textId="77777777" w:rsidR="005C14DD" w:rsidRDefault="005C14DD" w:rsidP="005C14DD">
      <w:pPr>
        <w:spacing w:after="0"/>
      </w:pPr>
    </w:p>
    <w:p w14:paraId="55DCB7DE" w14:textId="77777777" w:rsidR="005C14DD" w:rsidRDefault="005C14DD" w:rsidP="005C14DD">
      <w:pPr>
        <w:spacing w:after="0"/>
      </w:pPr>
      <w:r>
        <w:t xml:space="preserve">Alle onkosten worden in eerste instantie zelf betaald: ziekenhuisfacturen, onkosten apotheken, kine, eventueel andere rekeningen. Bezorg van deze uitgaven steeds een kopie aan de school. Deze onkosten worden door het secretariaat dan opgeladen in het schadedossier waarna een terugvordering door de verzekering kan volgen. </w:t>
      </w:r>
    </w:p>
    <w:p w14:paraId="0F869811" w14:textId="77777777" w:rsidR="005C14DD" w:rsidRDefault="005C14DD" w:rsidP="005C14DD">
      <w:pPr>
        <w:spacing w:after="0"/>
      </w:pPr>
    </w:p>
    <w:p w14:paraId="3984848A" w14:textId="77777777" w:rsidR="005C14DD" w:rsidRDefault="005C14DD" w:rsidP="005C14DD">
      <w:pPr>
        <w:spacing w:after="0"/>
      </w:pPr>
      <w:r>
        <w:t>Gelieve er rekening mee te willen houden dat er geen schade aan kledij of andere persoonlijke spullen wordt vergoed door de verzekeringsmaatschappij. Enkel de kosten aan prothesen (bv. bril, gehoorapparaat, …) zullen worden vergoed.</w:t>
      </w:r>
    </w:p>
    <w:p w14:paraId="2BDD7D19" w14:textId="77777777" w:rsidR="005C14DD" w:rsidRDefault="005C14DD" w:rsidP="005C14DD">
      <w:pPr>
        <w:spacing w:after="0"/>
      </w:pPr>
    </w:p>
    <w:p w14:paraId="6B14EF30" w14:textId="69246968" w:rsidR="005C14DD" w:rsidRDefault="005C14DD" w:rsidP="005C14DD">
      <w:pPr>
        <w:spacing w:after="0"/>
      </w:pPr>
      <w:r w:rsidRPr="00663FAB">
        <w:t xml:space="preserve">Wij hopen dat </w:t>
      </w:r>
      <w:r>
        <w:t>je</w:t>
      </w:r>
      <w:r>
        <w:t xml:space="preserve"> kind </w:t>
      </w:r>
      <w:r w:rsidRPr="00663FAB">
        <w:t xml:space="preserve">spoedig herstelt. Neem gerust contact met ons op via </w:t>
      </w:r>
      <w:hyperlink r:id="rId10" w:history="1">
        <w:r w:rsidRPr="00664B5F">
          <w:rPr>
            <w:rStyle w:val="Hyperlink"/>
          </w:rPr>
          <w:t>administratie@wogo.be</w:t>
        </w:r>
      </w:hyperlink>
      <w:r>
        <w:t xml:space="preserve"> </w:t>
      </w:r>
      <w:r w:rsidRPr="00663FAB">
        <w:t xml:space="preserve"> voor vragen of verdere afstemming.</w:t>
      </w:r>
    </w:p>
    <w:p w14:paraId="20181147" w14:textId="77777777" w:rsidR="00E33A96" w:rsidRDefault="00E33A96" w:rsidP="00E33A96"/>
    <w:sectPr w:rsidR="00E33A9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4960" w14:textId="77777777" w:rsidR="00B90C5F" w:rsidRDefault="00B90C5F" w:rsidP="00E33A96">
      <w:pPr>
        <w:spacing w:after="0" w:line="240" w:lineRule="auto"/>
      </w:pPr>
      <w:r>
        <w:separator/>
      </w:r>
    </w:p>
  </w:endnote>
  <w:endnote w:type="continuationSeparator" w:id="0">
    <w:p w14:paraId="5E623D39" w14:textId="77777777" w:rsidR="00B90C5F" w:rsidRDefault="00B90C5F" w:rsidP="00E3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Normal">
    <w:altName w:val="Nunito Sans"/>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284F" w14:textId="4D490445" w:rsidR="00E33A96" w:rsidRPr="00E33A96" w:rsidRDefault="005C14DD" w:rsidP="00E33A96">
    <w:pPr>
      <w:pStyle w:val="Voettekst"/>
      <w:pBdr>
        <w:top w:val="single" w:sz="4" w:space="1" w:color="8861F7"/>
      </w:pBdr>
      <w:rPr>
        <w:i/>
        <w:iCs/>
        <w:color w:val="233C5C"/>
        <w:sz w:val="20"/>
        <w:szCs w:val="20"/>
      </w:rPr>
    </w:pPr>
    <w:r>
      <w:rPr>
        <w:i/>
        <w:iCs/>
        <w:color w:val="233C5C"/>
        <w:sz w:val="20"/>
        <w:szCs w:val="20"/>
      </w:rPr>
      <w:t>Wat te doen bij een schoolongeval?</w:t>
    </w:r>
    <w:r w:rsidR="00E33A96">
      <w:rPr>
        <w:i/>
        <w:iCs/>
        <w:color w:val="233C5C"/>
        <w:sz w:val="20"/>
        <w:szCs w:val="20"/>
      </w:rPr>
      <w:tab/>
    </w:r>
    <w:r w:rsidR="00E33A96">
      <w:rPr>
        <w:i/>
        <w:iCs/>
        <w:color w:val="233C5C"/>
        <w:sz w:val="20"/>
        <w:szCs w:val="20"/>
      </w:rPr>
      <w:tab/>
    </w:r>
    <w:r w:rsidR="00E33A96" w:rsidRPr="00E33A96">
      <w:rPr>
        <w:i/>
        <w:iCs/>
        <w:color w:val="233C5C"/>
        <w:sz w:val="20"/>
        <w:szCs w:val="20"/>
      </w:rPr>
      <w:fldChar w:fldCharType="begin"/>
    </w:r>
    <w:r w:rsidR="00E33A96" w:rsidRPr="00E33A96">
      <w:rPr>
        <w:i/>
        <w:iCs/>
        <w:color w:val="233C5C"/>
        <w:sz w:val="20"/>
        <w:szCs w:val="20"/>
      </w:rPr>
      <w:instrText>PAGE   \* MERGEFORMAT</w:instrText>
    </w:r>
    <w:r w:rsidR="00E33A96" w:rsidRPr="00E33A96">
      <w:rPr>
        <w:i/>
        <w:iCs/>
        <w:color w:val="233C5C"/>
        <w:sz w:val="20"/>
        <w:szCs w:val="20"/>
      </w:rPr>
      <w:fldChar w:fldCharType="separate"/>
    </w:r>
    <w:r w:rsidR="00E33A96" w:rsidRPr="00E33A96">
      <w:rPr>
        <w:i/>
        <w:iCs/>
        <w:color w:val="233C5C"/>
        <w:sz w:val="20"/>
        <w:szCs w:val="20"/>
        <w:lang w:val="nl-NL"/>
      </w:rPr>
      <w:t>1</w:t>
    </w:r>
    <w:r w:rsidR="00E33A96" w:rsidRPr="00E33A96">
      <w:rPr>
        <w:i/>
        <w:iCs/>
        <w:color w:val="233C5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6A15" w14:textId="77777777" w:rsidR="00B90C5F" w:rsidRDefault="00B90C5F" w:rsidP="00E33A96">
      <w:pPr>
        <w:spacing w:after="0" w:line="240" w:lineRule="auto"/>
      </w:pPr>
      <w:r>
        <w:separator/>
      </w:r>
    </w:p>
  </w:footnote>
  <w:footnote w:type="continuationSeparator" w:id="0">
    <w:p w14:paraId="410164C7" w14:textId="77777777" w:rsidR="00B90C5F" w:rsidRDefault="00B90C5F" w:rsidP="00E33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34C33"/>
    <w:multiLevelType w:val="hybridMultilevel"/>
    <w:tmpl w:val="29BA273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08410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96"/>
    <w:rsid w:val="00021FBD"/>
    <w:rsid w:val="00075484"/>
    <w:rsid w:val="001C6667"/>
    <w:rsid w:val="002A1C26"/>
    <w:rsid w:val="00376EFB"/>
    <w:rsid w:val="003E641E"/>
    <w:rsid w:val="004037A9"/>
    <w:rsid w:val="0052704B"/>
    <w:rsid w:val="005316A3"/>
    <w:rsid w:val="00550DB8"/>
    <w:rsid w:val="005C14DD"/>
    <w:rsid w:val="00613469"/>
    <w:rsid w:val="00617B0D"/>
    <w:rsid w:val="00631AD4"/>
    <w:rsid w:val="0064336C"/>
    <w:rsid w:val="0064681B"/>
    <w:rsid w:val="0067257B"/>
    <w:rsid w:val="00863A20"/>
    <w:rsid w:val="008D6EA4"/>
    <w:rsid w:val="009F32C3"/>
    <w:rsid w:val="00A959F0"/>
    <w:rsid w:val="00B11946"/>
    <w:rsid w:val="00B47D9A"/>
    <w:rsid w:val="00B90C5F"/>
    <w:rsid w:val="00C90259"/>
    <w:rsid w:val="00D5331A"/>
    <w:rsid w:val="00E33A96"/>
    <w:rsid w:val="00E86BF9"/>
    <w:rsid w:val="00E91E4A"/>
    <w:rsid w:val="00E97D5F"/>
    <w:rsid w:val="00F34DE9"/>
    <w:rsid w:val="00FE13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0D35"/>
  <w15:chartTrackingRefBased/>
  <w15:docId w15:val="{A8AB0BF2-9921-4A8B-8813-D5119611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331A"/>
    <w:pPr>
      <w:spacing w:after="120"/>
    </w:pPr>
  </w:style>
  <w:style w:type="paragraph" w:styleId="Kop1">
    <w:name w:val="heading 1"/>
    <w:basedOn w:val="Standaard"/>
    <w:next w:val="Standaard"/>
    <w:link w:val="Kop1Char"/>
    <w:uiPriority w:val="9"/>
    <w:qFormat/>
    <w:rsid w:val="00E33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A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A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A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A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A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A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A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A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A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A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A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A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A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A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A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A96"/>
    <w:rPr>
      <w:rFonts w:eastAsiaTheme="majorEastAsia" w:cstheme="majorBidi"/>
      <w:color w:val="272727" w:themeColor="text1" w:themeTint="D8"/>
    </w:rPr>
  </w:style>
  <w:style w:type="paragraph" w:styleId="Titel">
    <w:name w:val="Title"/>
    <w:basedOn w:val="Standaard"/>
    <w:next w:val="Standaard"/>
    <w:link w:val="TitelChar"/>
    <w:uiPriority w:val="10"/>
    <w:qFormat/>
    <w:rsid w:val="00E3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A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A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A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A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A96"/>
    <w:rPr>
      <w:i/>
      <w:iCs/>
      <w:color w:val="404040" w:themeColor="text1" w:themeTint="BF"/>
    </w:rPr>
  </w:style>
  <w:style w:type="paragraph" w:styleId="Lijstalinea">
    <w:name w:val="List Paragraph"/>
    <w:basedOn w:val="Standaard"/>
    <w:uiPriority w:val="34"/>
    <w:qFormat/>
    <w:rsid w:val="00E33A96"/>
    <w:pPr>
      <w:ind w:left="720"/>
      <w:contextualSpacing/>
    </w:pPr>
  </w:style>
  <w:style w:type="character" w:styleId="Intensievebenadrukking">
    <w:name w:val="Intense Emphasis"/>
    <w:basedOn w:val="Standaardalinea-lettertype"/>
    <w:uiPriority w:val="21"/>
    <w:qFormat/>
    <w:rsid w:val="00E33A96"/>
    <w:rPr>
      <w:i/>
      <w:iCs/>
      <w:color w:val="0F4761" w:themeColor="accent1" w:themeShade="BF"/>
    </w:rPr>
  </w:style>
  <w:style w:type="paragraph" w:styleId="Duidelijkcitaat">
    <w:name w:val="Intense Quote"/>
    <w:basedOn w:val="Standaard"/>
    <w:next w:val="Standaard"/>
    <w:link w:val="DuidelijkcitaatChar"/>
    <w:uiPriority w:val="30"/>
    <w:qFormat/>
    <w:rsid w:val="00E33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A96"/>
    <w:rPr>
      <w:i/>
      <w:iCs/>
      <w:color w:val="0F4761" w:themeColor="accent1" w:themeShade="BF"/>
    </w:rPr>
  </w:style>
  <w:style w:type="character" w:styleId="Intensieveverwijzing">
    <w:name w:val="Intense Reference"/>
    <w:basedOn w:val="Standaardalinea-lettertype"/>
    <w:uiPriority w:val="32"/>
    <w:qFormat/>
    <w:rsid w:val="00E33A96"/>
    <w:rPr>
      <w:b/>
      <w:bCs/>
      <w:smallCaps/>
      <w:color w:val="0F4761" w:themeColor="accent1" w:themeShade="BF"/>
      <w:spacing w:val="5"/>
    </w:rPr>
  </w:style>
  <w:style w:type="table" w:styleId="Tabelraster">
    <w:name w:val="Table Grid"/>
    <w:basedOn w:val="Standaardtabel"/>
    <w:uiPriority w:val="39"/>
    <w:rsid w:val="00E3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3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3A96"/>
    <w:rPr>
      <w:rFonts w:ascii="Nunito Sans Normal" w:hAnsi="Nunito Sans Normal"/>
    </w:rPr>
  </w:style>
  <w:style w:type="paragraph" w:styleId="Voettekst">
    <w:name w:val="footer"/>
    <w:basedOn w:val="Standaard"/>
    <w:link w:val="VoettekstChar"/>
    <w:uiPriority w:val="99"/>
    <w:unhideWhenUsed/>
    <w:rsid w:val="00E33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3A96"/>
    <w:rPr>
      <w:rFonts w:ascii="Nunito Sans Normal" w:hAnsi="Nunito Sans Normal"/>
    </w:rPr>
  </w:style>
  <w:style w:type="character" w:styleId="Hyperlink">
    <w:name w:val="Hyperlink"/>
    <w:basedOn w:val="Standaardalinea-lettertype"/>
    <w:uiPriority w:val="99"/>
    <w:unhideWhenUsed/>
    <w:rsid w:val="005C14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ministratie@wogo.be"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1381</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Wonterwijs &amp; De Kerselaar</dc:creator>
  <cp:keywords/>
  <dc:description/>
  <cp:lastModifiedBy>Directie Wonterwijs &amp; De Kerselaar</cp:lastModifiedBy>
  <cp:revision>13</cp:revision>
  <dcterms:created xsi:type="dcterms:W3CDTF">2025-07-01T10:13:00Z</dcterms:created>
  <dcterms:modified xsi:type="dcterms:W3CDTF">2025-09-05T07:19:00Z</dcterms:modified>
</cp:coreProperties>
</file>